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right" w:pos="9886"/>
        </w:tabs>
        <w:spacing w:after="40"/>
      </w:pPr>
      <w:r>
        <w:drawing>
          <wp:inline distT="0" distB="0" distL="0" distR="0">
            <wp:extent cx="285750" cy="285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b/>
          <w:bCs/>
          <w:color w:val="10151C"/>
          <w:sz w:val="24"/>
          <w:szCs w:val="24"/>
        </w:rPr>
        <w:t xml:space="preserve">  AI MARITIME INSIGHTS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15803D"/>
          <w:sz w:val="16"/>
          <w:szCs w:val="16"/>
        </w:rPr>
        <w:t xml:space="preserve">● </w:t>
      </w:r>
      <w:r>
        <w:rPr>
          <w:rFonts w:ascii="Arial" w:cs="Arial" w:eastAsia="Arial" w:hAnsi="Arial"/>
          <w:color w:val="15803D"/>
          <w:sz w:val="16"/>
          <w:szCs w:val="16"/>
        </w:rPr>
        <w:t xml:space="preserve">FREE FIELD GUIDE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1D4ED8"/>
          <w:sz w:val="18"/>
          <w:szCs w:val="18"/>
        </w:rPr>
        <w:t xml:space="preserve">PRE-ARRIVAL READINESS  ·  IMO III 12/INF.21</w:t>
      </w:r>
    </w:p>
    <w:p>
      <w:pPr>
        <w:spacing w:after="0"/>
      </w:pPr>
      <w:r>
        <w:rPr>
          <w:rFonts w:ascii="Arial" w:cs="Arial" w:eastAsia="Arial" w:hAnsi="Arial"/>
          <w:b/>
          <w:bCs/>
          <w:color w:val="10151C"/>
          <w:sz w:val="56"/>
          <w:szCs w:val="56"/>
        </w:rPr>
        <w:t xml:space="preserve">Enhanced Machinery &amp;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10151C"/>
          <w:sz w:val="56"/>
          <w:szCs w:val="56"/>
        </w:rPr>
        <w:t xml:space="preserve">Maintenance PSC Checklist</w:t>
      </w:r>
    </w:p>
    <w:p>
      <w:pPr>
        <w:spacing w:after="240"/>
      </w:pPr>
      <w:r>
        <w:rPr>
          <w:rFonts w:ascii="Arial" w:cs="Arial" w:eastAsia="Arial" w:hAnsi="Arial"/>
          <w:color w:val="525B68"/>
          <w:sz w:val="22"/>
          <w:szCs w:val="22"/>
        </w:rPr>
        <w:t xml:space="preserve">A self-verification tool built from the harmonized guidance for Port State Control officers on enhanced machinery &amp; maintenance inspections.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95"/>
        <w:gridCol w:w="3295"/>
        <w:gridCol w:w="3296"/>
      </w:tblGrid>
      <w:tr>
        <w:tc>
          <w:tcPr>
            <w:tcW w:type="dxa" w:w="3295"/>
            <w:tcBorders>
              <w:top w:val="single" w:color="E4E8EE" w:sz="4"/>
              <w:left w:val="single" w:color="E4E8EE" w:sz="4"/>
              <w:bottom w:val="single" w:color="E4E8EE" w:sz="4"/>
              <w:right w:val="single" w:color="E4E8EE" w:sz="4"/>
            </w:tcBorders>
            <w:shd w:fill="FFFFFF" w:val="clear"/>
            <w:tcMar>
              <w:top w:type="dxa" w:w="140"/>
              <w:left w:type="dxa" w:w="140"/>
              <w:bottom w:type="dxa" w:w="140"/>
              <w:right w:type="dxa" w:w="1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0151C"/>
                <w:sz w:val="20"/>
                <w:szCs w:val="20"/>
              </w:rPr>
              <w:t xml:space="preserve">Initial inspection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general condition</w:t>
            </w:r>
          </w:p>
        </w:tc>
        <w:tc>
          <w:tcPr>
            <w:tcW w:type="dxa" w:w="3295"/>
            <w:tcBorders>
              <w:top w:val="single" w:color="E4E8EE" w:sz="4"/>
              <w:left w:val="single" w:color="E4E8EE" w:sz="4"/>
              <w:bottom w:val="single" w:color="E4E8EE" w:sz="4"/>
              <w:right w:val="single" w:color="E4E8EE" w:sz="4"/>
            </w:tcBorders>
            <w:shd w:fill="FFFFFF" w:val="clear"/>
            <w:tcMar>
              <w:top w:type="dxa" w:w="140"/>
              <w:left w:type="dxa" w:w="140"/>
              <w:bottom w:type="dxa" w:w="140"/>
              <w:right w:type="dxa" w:w="1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0151C"/>
                <w:sz w:val="20"/>
                <w:szCs w:val="20"/>
              </w:rPr>
              <w:t xml:space="preserve">Clear grounds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 triggers</w:t>
            </w:r>
          </w:p>
        </w:tc>
        <w:tc>
          <w:tcPr>
            <w:tcW w:type="dxa" w:w="3295"/>
            <w:tcBorders>
              <w:top w:val="single" w:color="BBD3FB" w:sz="4"/>
              <w:left w:val="single" w:color="BBD3FB" w:sz="4"/>
              <w:bottom w:val="single" w:color="BBD3FB" w:sz="4"/>
              <w:right w:val="single" w:color="BBD3FB" w:sz="4"/>
            </w:tcBorders>
            <w:shd w:fill="EAF2FE" w:val="clear"/>
            <w:tcMar>
              <w:top w:type="dxa" w:w="140"/>
              <w:left w:type="dxa" w:w="140"/>
              <w:bottom w:type="dxa" w:w="140"/>
              <w:right w:type="dxa" w:w="1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20"/>
                <w:szCs w:val="20"/>
              </w:rPr>
              <w:t xml:space="preserve">MDI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detailed inspection</w:t>
            </w:r>
          </w:p>
        </w:tc>
      </w:tr>
    </w:tbl>
    <w:p>
      <w:pPr>
        <w:spacing w:after="80" w:before="20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D23B3B"/>
          <w:sz w:val="20"/>
          <w:szCs w:val="20"/>
        </w:rPr>
        <w:t xml:space="preserve">D</w:t>
      </w:r>
      <w:r>
        <w:rPr>
          <w:rFonts w:ascii="Arial" w:cs="Arial" w:eastAsia="Arial" w:hAnsi="Arial"/>
          <w:color w:val="10151C"/>
          <w:sz w:val="18"/>
          <w:szCs w:val="18"/>
        </w:rPr>
        <w:t xml:space="preserve">  Detainable      </w:t>
      </w:r>
      <w:r>
        <w:rPr>
          <w:rFonts w:ascii="Arial" w:cs="Arial" w:eastAsia="Arial" w:hAnsi="Arial"/>
          <w:b/>
          <w:bCs/>
          <w:color w:val="525B68"/>
          <w:sz w:val="20"/>
          <w:szCs w:val="20"/>
        </w:rPr>
        <w:t xml:space="preserve">R</w:t>
      </w:r>
      <w:r>
        <w:rPr>
          <w:rFonts w:ascii="Arial" w:cs="Arial" w:eastAsia="Arial" w:hAnsi="Arial"/>
          <w:color w:val="10151C"/>
          <w:sz w:val="18"/>
          <w:szCs w:val="18"/>
        </w:rPr>
        <w:t xml:space="preserve">  Rectify before departure      </w:t>
      </w:r>
      <w:r>
        <w:rPr>
          <w:rFonts w:ascii="Arial" w:cs="Arial" w:eastAsia="Arial" w:hAnsi="Arial"/>
          <w:b/>
          <w:bCs/>
          <w:color w:val="2563EB"/>
          <w:sz w:val="20"/>
          <w:szCs w:val="20"/>
        </w:rPr>
        <w:t xml:space="preserve">MDI</w:t>
      </w:r>
      <w:r>
        <w:rPr>
          <w:rFonts w:ascii="Arial" w:cs="Arial" w:eastAsia="Arial" w:hAnsi="Arial"/>
          <w:color w:val="10151C"/>
          <w:sz w:val="18"/>
          <w:szCs w:val="18"/>
        </w:rPr>
        <w:t xml:space="preserve">  Clear-grounds trigger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D4ED8"/>
          <w:sz w:val="18"/>
          <w:szCs w:val="18"/>
        </w:rPr>
        <w:t xml:space="preserve">WHAT'S INSIDE</w:t>
      </w:r>
      <w:r>
        <w:rPr>
          <w:rFonts w:ascii="Arial" w:cs="Arial" w:eastAsia="Arial" w:hAnsi="Arial"/>
          <w:color w:val="525B68"/>
          <w:sz w:val="17"/>
          <w:szCs w:val="17"/>
        </w:rPr>
        <w:t xml:space="preserve">    documents &amp; records review, initial-inspection items, clear-grounds triggers, plus: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43"/>
        <w:gridCol w:w="4943"/>
      </w:tblGrid>
      <w:tr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5.4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 engine alarm systems</w:t>
            </w:r>
          </w:p>
        </w:tc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5.5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 engine components</w:t>
            </w:r>
          </w:p>
        </w:tc>
      </w:tr>
      <w:tr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5.6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Starting systems (air / electric)</w:t>
            </w:r>
          </w:p>
        </w:tc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5.7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Power generation</w:t>
            </w:r>
          </w:p>
        </w:tc>
      </w:tr>
      <w:tr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5.8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Electrical systems</w:t>
            </w:r>
          </w:p>
        </w:tc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5.9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Steering gear</w:t>
            </w:r>
          </w:p>
        </w:tc>
      </w:tr>
      <w:tr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5.10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Boilers</w:t>
            </w:r>
          </w:p>
        </w:tc>
        <w:tc>
          <w:tcPr>
            <w:tcW w:type="dxa" w:w="494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563EB"/>
                <w:sz w:val="18"/>
                <w:szCs w:val="18"/>
              </w:rPr>
              <w:t xml:space="preserve">5.11   </w:t>
            </w:r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Unmanned machinery (UMS)</w:t>
            </w:r>
          </w:p>
        </w:tc>
      </w:tr>
    </w:tbl>
    <w:p>
      <w:pPr>
        <w:pBdr>
          <w:top w:val="single" w:color="E4E8EE" w:sz="4"/>
        </w:pBdr>
        <w:spacing w:after="0" w:before="260"/>
      </w:pPr>
      <w:r>
        <w:rPr>
          <w:rFonts w:ascii="Arial" w:cs="Arial" w:eastAsia="Arial" w:hAnsi="Arial"/>
          <w:color w:val="8A93A2"/>
          <w:sz w:val="14"/>
          <w:szCs w:val="14"/>
        </w:rPr>
        <w:t xml:space="preserve">Source: IMO Sub-Committee III 12/INF.21 (15 May 2026) — China, Tokyo MoU, Indian Ocean MoU, Caribbean MoU.</w:t>
      </w:r>
    </w:p>
    <w:p>
      <w:pPr>
        <w:spacing w:after="0"/>
      </w:pPr>
      <w:r>
        <w:rPr>
          <w:rFonts w:ascii="Arial" w:cs="Arial" w:eastAsia="Arial" w:hAnsi="Arial"/>
          <w:color w:val="8A93A2"/>
          <w:sz w:val="14"/>
          <w:szCs w:val="14"/>
        </w:rPr>
        <w:t xml:space="preserve">Reference guidance only — apply the current IMO PSC Procedures and flag / class requirements.</w:t>
      </w:r>
    </w:p>
    <w:p>
      <w:r>
        <w:br w:type="page"/>
      </w:r>
    </w:p>
    <w:p>
      <w:pPr>
        <w:spacing w:after="80"/>
      </w:pPr>
      <w:r>
        <w:rPr>
          <w:rFonts w:ascii="Arial" w:cs="Arial" w:eastAsia="Arial" w:hAnsi="Arial"/>
          <w:b/>
          <w:bCs/>
          <w:color w:val="10151C"/>
          <w:sz w:val="30"/>
          <w:szCs w:val="30"/>
        </w:rPr>
        <w:t xml:space="preserve">How to use this checklist</w:t>
      </w:r>
    </w:p>
    <w:p>
      <w:pPr>
        <w:spacing w:after="160"/>
      </w:pPr>
      <w:r>
        <w:rPr>
          <w:rFonts w:ascii="Arial" w:cs="Arial" w:eastAsia="Arial" w:hAnsi="Arial"/>
          <w:color w:val="525B68"/>
          <w:sz w:val="20"/>
          <w:szCs w:val="20"/>
        </w:rPr>
        <w:t xml:space="preserve">Work top-to-bottom before arrival. Sections 0–2 cover what a PSCO reviews and observes on the initial inspection — clearing these prevents the “clear grounds” that escalate to a More Detailed Inspection (MDI). Sections 5.4–5.11 mirror the MDI itself, so you can rehearse exactly what an officer may be asked to demonstrate. Tick each item; treat any unticked box as an open action.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86"/>
      </w:tblGrid>
      <w:tr>
        <w:tc>
          <w:tcPr>
            <w:tcW w:type="dxa" w:w="9886"/>
            <w:tcBorders>
              <w:top w:val="single" w:color="E4E8EE" w:sz="18"/>
              <w:left w:val="single" w:color="E4E8EE" w:sz="4"/>
              <w:bottom w:val="single" w:color="E4E8EE" w:sz="4"/>
              <w:right w:val="single" w:color="E4E8EE" w:sz="4"/>
            </w:tcBorders>
            <w:shd w:fill="F4F6F9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151C"/>
                <w:sz w:val="19"/>
                <w:szCs w:val="19"/>
              </w:rPr>
              <w:t xml:space="preserve">Tag legend</w:t>
            </w:r>
          </w:p>
          <w:p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 = </w:t>
            </w:r>
            <w:r>
              <w:rPr>
                <w:rFonts w:ascii="Arial" w:cs="Arial" w:eastAsia="Arial" w:hAnsi="Arial"/>
                <w:color w:val="525B68"/>
                <w:sz w:val="17"/>
                <w:szCs w:val="17"/>
              </w:rPr>
              <w:t xml:space="preserve">detainable if found / failed (lack of maintenance is treated as non-accidental, §6.3).   </w:t>
            </w: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 = </w:t>
            </w:r>
            <w:r>
              <w:rPr>
                <w:rFonts w:ascii="Arial" w:cs="Arial" w:eastAsia="Arial" w:hAnsi="Arial"/>
                <w:color w:val="525B68"/>
                <w:sz w:val="17"/>
                <w:szCs w:val="17"/>
              </w:rPr>
              <w:t xml:space="preserve">rectify before departure.   </w:t>
            </w: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 = </w:t>
            </w:r>
            <w:r>
              <w:rPr>
                <w:rFonts w:ascii="Arial" w:cs="Arial" w:eastAsia="Arial" w:hAnsi="Arial"/>
                <w:color w:val="525B68"/>
                <w:sz w:val="17"/>
                <w:szCs w:val="17"/>
              </w:rPr>
              <w:t xml:space="preserve">a clear-grounds trigger that escalates to a detailed inspection.</w:t>
            </w:r>
          </w:p>
        </w:tc>
      </w:tr>
    </w:tbl>
    <w:p>
      <w:pPr>
        <w:spacing w:after="80"/>
      </w:pPr>
    </w:p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0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Documents, logs &amp; records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§3.1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Valid SOLAS Safety Construction Certificate (SAFCON), properly endorsed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Oil Record Book — OWS use and sludge tank capacity entries consistent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NOx Technical File (MARPOL VI Reg.13) matches engine &amp; onboard spares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Fuel change-over records (ECA transitions) and Bunker Delivery Notes complete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SEEMP II/III Statement of Compliance — data submission &amp; reporting year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Latest Class Status Report — no overdue machinery-related items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Conditions of Class / Conditions of Authority / exemptions identified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UMS notation on Class cert; company UMS procedures available (if applicable)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Documented maintenance system (PMS) in/under SMS, in crew working language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Maintenance/repair/inspection records match Class report &amp; NOx file dates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§3.1.3.3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1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Initial inspection &amp; housekeeping — do not create clear grounds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§3.2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Engine room clean: no oil stains, oil-soaked lagging, oil in bilges / drip trays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No temporary save-alls under leaking joints; oily rags removed after work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Ventilation fully operational and effective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Lighting operational and sufficient at all work locations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Electrical equipment free of earth faults; insulation tests normal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Piping, control / quick-closing / relief valves in good condition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Control panel &amp; monitoring free of abnormal or unjustifiably suppressed alarms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Machinery free of cracks, corrosion, leaks, wear; isolation valves not hiding leaks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§3.2.2.7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Machinery-space escape routes clear of stores / waste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§3.2.2.8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Gauges undamaged, readings normal (start-air receiver adequate pressure)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§3.2.2.9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Boiler (UMS): two water-level indicators; safety systems operational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§3.2.2.10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Rubber expansion joints (REJs) in satisfactory condition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§3.2.2.11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Maintenance records accurate &amp; verifiable; crew familiar and complying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§3.2.3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2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Clear-grounds triggers — know what escalates to a Detailed Inspection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§4.2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Notified propulsion failure or lack of available main-engine power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Too few auxiliary generators available / inadequate load sharing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Excessive oil leakage, oil-soaked lagging, oil in bilges or save-alls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Crew unfamiliar with equipment testing per maker's instructions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Excessive inhibited / off-scan / reposed / manually suppressed alarms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Start-air receiver low, or too few air compressors in service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Large earth fault on 220 V (≤ 0.5 MΩ) or any earth fault on 440 V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§4.2.1.7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Compartment cluttered with rubbish, oily rags, unsecured spare parts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§4.2.1.8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Inoperable automated control, alarm or safety systems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§4.2.1.9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Evidence of a recent emergency repair on critical machinery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§4.2.1.10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563EB"/>
                <w:sz w:val="17"/>
                <w:szCs w:val="17"/>
              </w:rPr>
              <w:t xml:space="preserve">MDI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5.4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Main engine alarm systems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§5.4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Visual: panels, alarms, UPS, sensors undamaged; review historical / false alarms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Lamp &amp; sound test; alarms audible at bridge &amp; ER; not unjustifiably inhibited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Cyl. cooling-water HT and exhaust-gas HT alarms function (with crew / Class)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Alarm-system power-supply failure alarm functions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Low starting-air pressure alarm (bridge-controlled M/E)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HP fuel jacketed-pipe leak alarm (keel laid on/after 1 Feb 1992)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Crankcase oil-mist alarm / bearing-temp monitor (≥2250 kW or &gt;300 mm bore, UMS)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§5.4.3.5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Auxiliary-pump auto-changeover alarm (LO / FO / CW pumps, UMS)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§5.4.3.6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Inoperable M/E alarm or safety system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§6.3.1.3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5.5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Main engine component maintenance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§5.5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Drawings, specs &amp; technical data available and in the PMS schedule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Visual: cleanliness, secured oil/water piping; no corrosion / cracks / leaks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Simulated low-LO-pressure slowdown/shutdown &amp; bearing-temp trip test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Spare-parts adequacy assessment for reliability-critical equipment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Spares match NOx Technical File (2008 NOx Code engines)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Planned Maintenance System (PMS) up to date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Crew familiar with component maintenance procedures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Non-metallic (rubber) expansion joints below waterline surveyed / replaced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§5.5.3.6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Cannot start / reverse / regulate / stop, or cracked liner or cylinder head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§6.3.1.1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5.6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Starting systems (air / electric)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§5.6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Visual: compressors / receivers clean, covers intact, no air leaks; batteries sound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Start valves, distributor, relief/safety valves, dryers tested; turning-gear interlock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Crew familiar with operation &amp; maintenance procedures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Emergency start (emergency compressor &amp; receiver) effective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Gauges correct; safety valves / fusible plugs not leaking or failed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Non-return / anti-backfire valves not damaged or failed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Overpressure safety valves carry 5-year test tags, no paint / corrosion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Start-air lines fully separated from compressor discharge lines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Receiver drain valve free; discharges oil-water mix without blockage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§5.6.3.7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Compressed-air fault causing abnormal operation of other systems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5.7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Power generation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§5.7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Logbook history; gen plan implemented; gens cycled, share load, even exhaust temps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Visual: structure, piping, valves, instruments; exhaust smoke leaks; TC/governor oil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FO/LO/CW/start-air tested; LO filter pressures; oil analysis; paralleling &amp; load-shed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FO isolation valves operate (keel on/after 1 Jul 2002)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Provision to clean / inspect / maintain the generator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Low-LO-pressure safety devices function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One gen out of service: remaining sets supply propulsion / safety / habitability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Remote &amp; local control, sync &amp; load-shedding; engineer familiar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§5.7.3.4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Main-generator failure with no maintain / immediate restore of power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§6.3.6.2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5.8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Electrical systems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§5.8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Switchboard clear; indicator lights &amp; insulation alarms work (not hidden by tripped breaker)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Insulated mats / back panels / handrails; equipment earthed; Ex protection in hazardous spaces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 source supplies all three phases (SOLAS II-1 Reg.41)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Emergency gen auto-starts and on-load within 45 s; battery instantaneous (Reg.43.3)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Emergency-gen fuel ≥ 18 h (cargo) / 36 h (passenger); gauges &amp; records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Auto-start energy for 3 consecutive starts + 3 more within 30 min (Reg.44.2)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Overload protective device rating / setting permanently indicated at device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Lighting fixtures secure; anti-vibration / waterproof where required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On load: start emergency fire pump &amp; steering pump to load-test emergency genset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§5.8.3.6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Failure of emergency power source, or loss/no-restore of main generator power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§6.3.6.2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Jumper cables used to isolate sensors / indicators on critical alarms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§6.3.6.2.5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5.9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Steering gear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§5.9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Records: calibration / testing; emergency steering drills at least every 3 months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Visual: no leaks; reserve oil &amp; level gauge; air vents &amp; pressure gauges; linkages tight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Self-closing level-gauge device not held open; no rudder-stock water ingress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Prompt / accurate response, max rudder angle &amp; slew rate; alarms &amp; interlocks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Power-cut triggers audible/visual alarm; auto-restart on power restoration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No excess play between rudder stock and steering gear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Local steering test; response time meets convention; limit switches function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Bridge↔steering-flat comms; bridge angle indicator matches local reading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§5.9.3.5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Steering alarms (power / short-circuit / overload / phase) function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§5.9.3.6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Emergency steering drill performed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§5.9.3.7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 response &gt;28 s / aux &gt;60 s, rudder angle unattainable, or alarm failure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§6.3.4.1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5.10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Boilers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§5.10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Records: survey cert, safety-valve calibration, water dosing / quality tests, chemicals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Visual: no corrosion/cracks/leaks/smoke on body, burner, exhaust, lines, valves, manholes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Burner operable; clean sight glass; no black smoke in exhaust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Reliable under load; safety devices / alarms / interlocks / auto-control function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Insulation intact; no pipeline leaks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 steam / sampling / drain / stop valves operate; no corrosion or failure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Safety-valve easing gear correctly set, not cracked / corroded; safe outlet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Unmanned oil-fired boiler shuts fuel + alarm on low water / air / flame failure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Two water-level indications, ≥1 direct gauge glass working; remote SV operation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§5.10.3.5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Cracks / leaks rendering boiler inoperable (repair + RO survey before sailing)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pBdr>
          <w:top w:val="single" w:color="2563EB" w:sz="14" w:space="1"/>
        </w:pBdr>
        <w:shd w:fill="EAF2FE" w:val="clear"/>
        <w:tabs>
          <w:tab w:val="right" w:pos="9846"/>
        </w:tabs>
        <w:spacing w:after="0" w:before="200"/>
      </w:pP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5.11   </w:t>
      </w:r>
      <w:r>
        <w:rPr>
          <w:rFonts w:ascii="Arial" w:cs="Arial" w:eastAsia="Arial" w:hAnsi="Arial"/>
          <w:b/>
          <w:bCs/>
          <w:color w:val="2563EB"/>
          <w:sz w:val="22"/>
          <w:szCs w:val="22"/>
        </w:rPr>
        <w:t xml:space="preserve">MDI — Unmanned machinery spaces (UMS)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525B68"/>
          <w:sz w:val="16"/>
          <w:szCs w:val="16"/>
        </w:rPr>
        <w:t xml:space="preserve">§5.11</w:t>
      </w: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7200"/>
        <w:gridCol w:w="1300"/>
        <w:gridCol w:w="866"/>
      </w:tblGrid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Minimum Safe Manning vs watch arrangement consistent with UMS notation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§5.11.2.1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Bridge: M/E control position, RPM &amp; start-air gauges; sensor probes sound; clear LCDs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§5.11.2.2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All UMS functions reliable; alarms at ECR / wheelhouse / accommodation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Main + emergency supply with reliable changeover; personnel / dead-man alarm (A.1021(26))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§5.11.2.3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Bilge high-level alarm; alarm for prolonged / frequent bilge-pump operation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§5.11.3.1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Sea-inlet / below-waterline / bilge-injection valve controls reachable (remote if needed)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§5.11.3.2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CCR &amp; extended alarm display/function; power-failure alarm; no locked-out alarms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§5.11.3.3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Engineers' alarm reset; personnel alarm auto-triggers if not reset ≤30 min; 3-min pre-warn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§5.11.3.4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Dual-pump auto switch; standby auto-starts + alarm when a pump stops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§5.11.3.5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Standby genset auto-start / sync / load-share / de-load / step-shed normal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§5.11.3.6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7F9FB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25B68"/>
                <w:sz w:val="17"/>
                <w:szCs w:val="17"/>
              </w:rPr>
              <w:t xml:space="preserve">R</w:t>
            </w:r>
          </w:p>
        </w:tc>
      </w:tr>
      <w:tr>
        <w:tc>
          <w:tcPr>
            <w:tcW w:type="dxa" w:w="52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480"/>
                <w:sz w:val="24"/>
                <w:szCs w:val="24"/>
              </w:rPr>
              <w:t xml:space="preserve">□</w:t>
            </w:r>
          </w:p>
        </w:tc>
        <w:tc>
          <w:tcPr>
            <w:tcW w:type="dxa" w:w="72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10151C"/>
                <w:sz w:val="18"/>
                <w:szCs w:val="18"/>
              </w:rPr>
              <w:t xml:space="preserve">Auto-control loss preventing UMS operation with insufficient manning</w:t>
            </w:r>
          </w:p>
        </w:tc>
        <w:tc>
          <w:tcPr>
            <w:tcW w:type="dxa" w:w="1300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525B68"/>
                <w:sz w:val="14"/>
                <w:szCs w:val="14"/>
              </w:rPr>
              <w:t xml:space="preserve">§6.3.1.3</w:t>
            </w:r>
          </w:p>
        </w:tc>
        <w:tc>
          <w:tcPr>
            <w:tcW w:type="dxa" w:w="866"/>
            <w:tcBorders>
              <w:top w:val="single" w:color="EEF1F4" w:sz="1"/>
              <w:left w:val="single" w:color="EEF1F4" w:sz="1"/>
              <w:bottom w:val="single" w:color="EEF1F4" w:sz="1"/>
              <w:right w:val="single" w:color="EEF1F4" w:sz="1"/>
            </w:tcBorders>
            <w:shd w:fill="FCEEEE" w:val="clear"/>
            <w:tcMar>
              <w:top w:type="dxa" w:w="60"/>
              <w:left w:type="dxa" w:w="12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23B3B"/>
                <w:sz w:val="17"/>
                <w:szCs w:val="17"/>
              </w:rPr>
              <w:t xml:space="preserve">D</w:t>
            </w:r>
          </w:p>
        </w:tc>
      </w:tr>
    </w:tbl>
    <w:p>
      <w:pPr>
        <w:spacing w:after="60" w:before="200"/>
      </w:pP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86"/>
      </w:tblGrid>
      <w:tr>
        <w:tc>
          <w:tcPr>
            <w:tcW w:type="dxa" w:w="9886"/>
            <w:tcBorders>
              <w:top w:val="single" w:color="B7791F" w:sz="18"/>
              <w:left w:val="single" w:color="B7791F" w:sz="4"/>
              <w:bottom w:val="single" w:color="B7791F" w:sz="4"/>
              <w:right w:val="single" w:color="B7791F" w:sz="4"/>
            </w:tcBorders>
            <w:shd w:fill="FBFAF3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151C"/>
                <w:sz w:val="19"/>
                <w:szCs w:val="19"/>
              </w:rPr>
              <w:t xml:space="preserve">Reporting &amp; detention logic (§6.2)</w:t>
            </w:r>
          </w:p>
          <w:p>
            <w:r>
              <w:rPr>
                <w:rFonts w:ascii="Arial" w:cs="Arial" w:eastAsia="Arial" w:hAnsi="Arial"/>
                <w:color w:val="525B68"/>
                <w:sz w:val="17"/>
                <w:szCs w:val="17"/>
              </w:rPr>
              <w:t xml:space="preserve">A voluntarily reported malfunction with no resulting casualty should normally be rectified before departure rather than detained. Detention may still follow where onboard repairs are inadequate, a previously reported defect is not properly rectified, the same defect recurs, or the defect is a verifiable direct result of lack of maintenance (therefore not accidental). For critical deficiencies, detention should be considered.</w:t>
            </w:r>
          </w:p>
        </w:tc>
      </w:tr>
    </w:tbl>
    <w:p>
      <w:pPr>
        <w:spacing w:after="60" w:before="120"/>
      </w:pPr>
    </w:p>
    <w:tbl>
      <w:tblPr>
        <w:tblW w:type="dxa" w:w="98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86"/>
      </w:tblGrid>
      <w:tr>
        <w:tc>
          <w:tcPr>
            <w:tcW w:type="dxa" w:w="9886"/>
            <w:tcBorders>
              <w:top w:val="single" w:color="2563EB" w:sz="18"/>
              <w:left w:val="single" w:color="2563EB" w:sz="4"/>
              <w:bottom w:val="single" w:color="2563EB" w:sz="4"/>
              <w:right w:val="single" w:color="2563EB" w:sz="4"/>
            </w:tcBorders>
            <w:shd w:fill="EAF2FE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0151C"/>
                <w:sz w:val="19"/>
                <w:szCs w:val="19"/>
              </w:rPr>
              <w:t xml:space="preserve">Readiness self-score</w:t>
            </w:r>
          </w:p>
          <w:p>
            <w:r>
              <w:rPr>
                <w:rFonts w:ascii="Arial" w:cs="Arial" w:eastAsia="Arial" w:hAnsi="Arial"/>
                <w:color w:val="10151C"/>
                <w:sz w:val="17"/>
                <w:szCs w:val="17"/>
              </w:rPr>
              <w:t xml:space="preserve">Open actions (unticked): ______      Detainable (D) items open: ______      Verified by / rank: ____________      Date: __________</w:t>
            </w:r>
          </w:p>
        </w:tc>
      </w:tr>
    </w:tbl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100" w:right="1010" w:bottom="1100" w:left="101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8EE" w:sz="4"/>
      </w:pBdr>
      <w:tabs>
        <w:tab w:val="right" w:pos="9886"/>
      </w:tabs>
      <w:spacing w:before="80"/>
    </w:pPr>
    <w:r>
      <w:rPr>
        <w:rFonts w:ascii="Arial" w:cs="Arial" w:eastAsia="Arial" w:hAnsi="Arial"/>
        <w:color w:val="8A93A2"/>
        <w:sz w:val="14"/>
        <w:szCs w:val="14"/>
      </w:rPr>
      <w:t xml:space="preserve">AI Maritime Insights  ·  aimaritimeinsights.com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8A93A2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4E8EE" w:sz="4"/>
      </w:pBdr>
      <w:tabs>
        <w:tab w:val="right" w:pos="9886"/>
      </w:tabs>
      <w:spacing w:after="120"/>
    </w:pPr>
    <w:r>
      <w:rPr>
        <w:rFonts w:ascii="Arial" w:cs="Arial" w:eastAsia="Arial" w:hAnsi="Arial"/>
        <w:color w:val="8A93A2"/>
        <w:sz w:val="14"/>
        <w:szCs w:val="14"/>
      </w:rPr>
      <w:t xml:space="preserve">PRE-ARRIVAL PSC MACHINERY READINESS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8A93A2"/>
        <w:sz w:val="14"/>
        <w:szCs w:val="14"/>
      </w:rPr>
      <w:t xml:space="preserve">IMO III 12/INF.21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0151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eb519c603c39a89bd2163486e3a61a5ca7fb6ca7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2026-06-19T12:17:57.321Z</dcterms:created>
  <dcterms:modified xsi:type="dcterms:W3CDTF">2026-06-19T12:17:57.332Z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