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246888" cy="2468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24688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hAnsi="Arial" w:eastAsia="Arial"/>
          <w:b/>
          <w:color w:val="1B2530"/>
          <w:sz w:val="20"/>
        </w:rPr>
        <w:t xml:space="preserve">  AI MARITIME INSIGHTS</w:t>
      </w:r>
    </w:p>
    <w:p>
      <w:pPr>
        <w:spacing w:before="120" w:after="80" w:line="240" w:lineRule="auto"/>
        <w:jc w:val="center"/>
      </w:pPr>
      <w:r>
        <w:rPr>
          <w:rFonts w:ascii="Arial" w:hAnsi="Arial" w:eastAsia="Arial"/>
          <w:b/>
          <w:color w:val="0B1F33"/>
          <w:sz w:val="36"/>
        </w:rPr>
        <w:t>2026 CARGO SECURING CIC</w:t>
        <w:br/>
        <w:t>ONBOARD READINESS CHECKLISTS</w:t>
      </w:r>
    </w:p>
    <w:p>
      <w:pPr>
        <w:spacing w:before="40" w:after="80" w:line="240" w:lineRule="auto"/>
        <w:jc w:val="center"/>
      </w:pPr>
      <w:r>
        <w:rPr>
          <w:rFonts w:ascii="Arial" w:hAnsi="Arial" w:eastAsia="Arial"/>
          <w:b/>
          <w:color w:val="1F7A5A"/>
          <w:sz w:val="24"/>
        </w:rPr>
        <w:t>General Checklist + Container-Ship Additional Checks | Pre-Release</w:t>
      </w:r>
    </w:p>
    <w:p>
      <w:pPr>
        <w:spacing w:before="40" w:after="180" w:line="240" w:lineRule="auto"/>
        <w:jc w:val="center"/>
      </w:pPr>
      <w:r>
        <w:rPr>
          <w:rFonts w:ascii="Arial" w:hAnsi="Arial" w:eastAsia="Arial"/>
          <w:b/>
          <w:color w:val="000000"/>
          <w:sz w:val="22"/>
        </w:rPr>
        <w:t>30 general checks + 12 additional container-ship checks</w:t>
      </w:r>
    </w:p>
    <w:tbl>
      <w:tblPr>
        <w:tblStyle w:val="TableGrid"/>
        <w:tblW w:type="dxa" w:w="15826"/>
        <w:jc w:val="center"/>
        <w:tblLayout w:type="fixed"/>
        <w:tblLook w:firstColumn="1" w:firstRow="1" w:lastColumn="0" w:lastRow="0" w:noHBand="0" w:noVBand="1" w:val="04A0"/>
      </w:tblPr>
      <w:tblGrid>
        <w:gridCol w:w="15826"/>
      </w:tblGrid>
      <w:tr>
        <w:tc>
          <w:tcPr>
            <w:tcW w:type="dxa" w:w="15826"/>
            <w:shd w:fill="F2F6F8" w:val="clear"/>
            <w:tcMar>
              <w:top w:w="100" w:type="dxa"/>
              <w:left w:w="130" w:type="dxa"/>
              <w:bottom w:w="100" w:type="dxa"/>
              <w:right w:w="13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00000"/>
                <w:sz w:val="16"/>
              </w:rPr>
              <w:t xml:space="preserve">Purpose: </w:t>
            </w:r>
            <w:r>
              <w:rPr>
                <w:rFonts w:ascii="Arial" w:hAnsi="Arial" w:eastAsia="Arial"/>
                <w:b w:val="0"/>
                <w:color w:val="000000"/>
                <w:sz w:val="16"/>
              </w:rPr>
              <w:t>One compact onboard working document comprising a 30-point general cargo-securing checklist and a separate 12-point container-ship addendum.</w:t>
            </w:r>
          </w:p>
          <w:p>
            <w:pPr>
              <w:spacing w:before="40" w:after="0" w:line="240" w:lineRule="auto"/>
            </w:pPr>
            <w:r>
              <w:rPr>
                <w:rFonts w:ascii="Arial" w:hAnsi="Arial" w:eastAsia="Arial"/>
                <w:b/>
                <w:color w:val="000000"/>
                <w:sz w:val="16"/>
              </w:rPr>
              <w:t xml:space="preserve">Status: </w:t>
            </w:r>
            <w:r>
              <w:rPr>
                <w:rFonts w:ascii="Arial" w:hAnsi="Arial" w:eastAsia="Arial"/>
                <w:b w:val="0"/>
                <w:color w:val="000000"/>
                <w:sz w:val="16"/>
              </w:rPr>
              <w:t>Independent pre-release readiness aid. Cargo Securing is confirmed as the 2026 joint Paris/Tokyo MoU CIC topic. The official questionnaire and final campaign instructions have not yet been published. Review and update this checklist when issued.</w:t>
            </w:r>
          </w:p>
          <w:p>
            <w:pPr>
              <w:spacing w:before="40" w:after="0" w:line="240" w:lineRule="auto"/>
            </w:pPr>
            <w:r>
              <w:rPr>
                <w:rFonts w:ascii="Arial" w:hAnsi="Arial" w:eastAsia="Arial"/>
                <w:b/>
                <w:color w:val="000000"/>
                <w:sz w:val="16"/>
              </w:rPr>
              <w:t xml:space="preserve">Basis: </w:t>
            </w:r>
            <w:r>
              <w:rPr>
                <w:rFonts w:ascii="Arial" w:hAnsi="Arial" w:eastAsia="Arial"/>
                <w:b w:val="0"/>
                <w:color w:val="000000"/>
                <w:sz w:val="16"/>
              </w:rPr>
              <w:t>Paris/Tokyo MoU confirmation of Cargo Securing as the 2026 joint CIC topic; SOLAS regulations VI/5 and VII/5; CSS Code; MSC.1/Circ.1353/Rev.2; SOLAS VI/2 for container VGM; SOLAS V/31 and V/32 for container-loss reporting; and the official 2016 Tokyo MOU Cargo Securing Arrangements CIC report/questionnaire as a historical benchmark.</w:t>
            </w:r>
          </w:p>
          <w:p>
            <w:pPr>
              <w:spacing w:before="40" w:after="0" w:line="240" w:lineRule="auto"/>
            </w:pPr>
            <w:r>
              <w:rPr>
                <w:rFonts w:ascii="Arial" w:hAnsi="Arial" w:eastAsia="Arial"/>
                <w:b/>
                <w:color w:val="000000"/>
                <w:sz w:val="16"/>
              </w:rPr>
              <w:t xml:space="preserve">Important: </w:t>
            </w:r>
            <w:r>
              <w:rPr>
                <w:rFonts w:ascii="Arial" w:hAnsi="Arial" w:eastAsia="Arial"/>
                <w:b w:val="0"/>
                <w:color w:val="000000"/>
                <w:sz w:val="16"/>
              </w:rPr>
              <w:t>This is not an official Paris MoU, Tokyo MOU or IMO checklist. The approved ship-specific CSM, applicable Flag/RO/Class requirements and Company SMS remain controlling.</w:t>
            </w:r>
          </w:p>
        </w:tc>
      </w:tr>
    </w:tbl>
    <w:p>
      <w:pPr>
        <w:keepNext/>
        <w:spacing w:before="20" w:after="20" w:line="240" w:lineRule="auto"/>
      </w:pPr>
      <w:r>
        <w:rPr>
          <w:rFonts w:ascii="Arial" w:hAnsi="Arial" w:eastAsia="Arial"/>
          <w:b/>
          <w:color w:val="0B1F33"/>
          <w:sz w:val="20"/>
        </w:rPr>
        <w:t>How to use</w:t>
      </w:r>
    </w:p>
    <w:p>
      <w:pPr>
        <w:pStyle w:val="ListBullet"/>
        <w:spacing w:before="0" w:after="0" w:line="240" w:lineRule="auto"/>
        <w:ind w:left="317" w:hanging="173"/>
      </w:pPr>
      <w:r>
        <w:rPr>
          <w:rFonts w:ascii="Arial" w:hAnsi="Arial" w:eastAsia="Arial"/>
          <w:b w:val="0"/>
          <w:color w:val="000000"/>
          <w:sz w:val="16"/>
        </w:rPr>
        <w:t>Tick YES only when the item has been verified and objective evidence is available where applicable.</w:t>
      </w:r>
    </w:p>
    <w:p>
      <w:pPr>
        <w:pStyle w:val="ListBullet"/>
        <w:spacing w:before="0" w:after="0" w:line="240" w:lineRule="auto"/>
        <w:ind w:left="317" w:hanging="173"/>
      </w:pPr>
      <w:r>
        <w:rPr>
          <w:rFonts w:ascii="Arial" w:hAnsi="Arial" w:eastAsia="Arial"/>
          <w:b w:val="0"/>
          <w:color w:val="000000"/>
          <w:sz w:val="16"/>
        </w:rPr>
        <w:t>Tick NO for a gap, defect, missing evidence, uncertainty or uncontrolled temporary condition.</w:t>
      </w:r>
    </w:p>
    <w:p>
      <w:pPr>
        <w:pStyle w:val="ListBullet"/>
        <w:spacing w:before="0" w:after="0" w:line="240" w:lineRule="auto"/>
        <w:ind w:left="317" w:hanging="173"/>
      </w:pPr>
      <w:r>
        <w:rPr>
          <w:rFonts w:ascii="Arial" w:hAnsi="Arial" w:eastAsia="Arial"/>
          <w:b w:val="0"/>
          <w:color w:val="000000"/>
          <w:sz w:val="16"/>
        </w:rPr>
        <w:t>Tick N/A only after confirming the item genuinely does not apply to the ship, cargo or arrangement.</w:t>
      </w:r>
    </w:p>
    <w:p>
      <w:pPr>
        <w:pStyle w:val="ListBullet"/>
        <w:spacing w:before="0" w:after="0" w:line="240" w:lineRule="auto"/>
        <w:ind w:left="317" w:hanging="173"/>
      </w:pPr>
      <w:r>
        <w:rPr>
          <w:rFonts w:ascii="Arial" w:hAnsi="Arial" w:eastAsia="Arial"/>
          <w:b w:val="0"/>
          <w:color w:val="000000"/>
          <w:sz w:val="16"/>
        </w:rPr>
        <w:t>Every NO answer requires closure, escalation or a formally controlled temporary measure.</w:t>
      </w:r>
    </w:p>
    <w:p>
      <w:pPr>
        <w:pStyle w:val="ListBullet"/>
        <w:spacing w:before="0" w:after="0" w:line="240" w:lineRule="auto"/>
        <w:ind w:left="317" w:hanging="173"/>
      </w:pPr>
      <w:r>
        <w:rPr>
          <w:rFonts w:ascii="Arial" w:hAnsi="Arial" w:eastAsia="Arial"/>
          <w:b w:val="0"/>
          <w:color w:val="000000"/>
          <w:sz w:val="16"/>
        </w:rPr>
        <w:t>Do not backdate, recreate or overstate records; physical condition and documentary evidence must agree.</w:t>
      </w:r>
    </w:p>
    <w:p>
      <w:pPr>
        <w:keepNext/>
        <w:spacing w:before="80" w:after="40" w:line="240" w:lineRule="auto"/>
      </w:pPr>
      <w:r>
        <w:rPr>
          <w:rFonts w:ascii="Arial" w:hAnsi="Arial" w:eastAsia="Arial"/>
          <w:b/>
          <w:color w:val="0B1F33"/>
          <w:sz w:val="20"/>
        </w:rPr>
        <w:t>Checklist content</w:t>
      </w:r>
    </w:p>
    <w:tbl>
      <w:tblPr>
        <w:tblStyle w:val="TableGrid"/>
        <w:tblW w:type="dxa" w:w="15120"/>
        <w:jc w:val="center"/>
        <w:tblLayout w:type="fixed"/>
        <w:tblLook w:firstColumn="1" w:firstRow="1" w:lastColumn="0" w:lastRow="0" w:noHBand="0" w:noVBand="1" w:val="04A0"/>
      </w:tblPr>
      <w:tblGrid>
        <w:gridCol w:w="11232"/>
        <w:gridCol w:w="1584"/>
        <w:gridCol w:w="2304"/>
      </w:tblGrid>
      <w:tr>
        <w:tc>
          <w:tcPr>
            <w:tcW w:type="dxa" w:w="11232"/>
            <w:shd w:fill="0B1F33" w:val="clear"/>
            <w:tcMar>
              <w:top w:w="40" w:type="dxa"/>
              <w:left w:w="45" w:type="dxa"/>
              <w:bottom w:w="40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Checklist</w:t>
            </w:r>
          </w:p>
        </w:tc>
        <w:tc>
          <w:tcPr>
            <w:tcW w:type="dxa" w:w="1584"/>
            <w:shd w:fill="0B1F33" w:val="clear"/>
            <w:tcMar>
              <w:top w:w="40" w:type="dxa"/>
              <w:left w:w="45" w:type="dxa"/>
              <w:bottom w:w="40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Checks</w:t>
            </w:r>
          </w:p>
        </w:tc>
        <w:tc>
          <w:tcPr>
            <w:tcW w:type="dxa" w:w="2304"/>
            <w:shd w:fill="0B1F33" w:val="clear"/>
            <w:tcMar>
              <w:top w:w="40" w:type="dxa"/>
              <w:left w:w="45" w:type="dxa"/>
              <w:bottom w:w="40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Application</w:t>
            </w:r>
          </w:p>
        </w:tc>
      </w:tr>
      <w:tr>
        <w:tc>
          <w:tcPr>
            <w:tcW w:type="dxa" w:w="11232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5"/>
              </w:rPr>
              <w:t>Checklist 1 — General onboard readiness</w:t>
            </w:r>
          </w:p>
        </w:tc>
        <w:tc>
          <w:tcPr>
            <w:tcW w:type="dxa" w:w="1584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5"/>
              </w:rPr>
              <w:t>30</w:t>
            </w:r>
          </w:p>
        </w:tc>
        <w:tc>
          <w:tcPr>
            <w:tcW w:type="dxa" w:w="2304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5"/>
              </w:rPr>
              <w:t>All applicable ships</w:t>
            </w:r>
          </w:p>
        </w:tc>
      </w:tr>
      <w:tr>
        <w:tc>
          <w:tcPr>
            <w:tcW w:type="dxa" w:w="11232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5"/>
              </w:rPr>
              <w:t>Checklist 2 — Container-ship additional checks</w:t>
            </w:r>
          </w:p>
        </w:tc>
        <w:tc>
          <w:tcPr>
            <w:tcW w:type="dxa" w:w="1584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5"/>
              </w:rPr>
              <w:t>12</w:t>
            </w:r>
          </w:p>
        </w:tc>
        <w:tc>
          <w:tcPr>
            <w:tcW w:type="dxa" w:w="2304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5"/>
              </w:rPr>
              <w:t>Complete in addition</w:t>
            </w:r>
          </w:p>
        </w:tc>
      </w:tr>
      <w:tr>
        <w:tc>
          <w:tcPr>
            <w:tcW w:type="dxa" w:w="11232"/>
            <w:shd w:fill="E6EEF3" w:val="clear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5"/>
              </w:rPr>
              <w:t>CONTAINER-SHIP TOTAL</w:t>
            </w:r>
          </w:p>
        </w:tc>
        <w:tc>
          <w:tcPr>
            <w:tcW w:type="dxa" w:w="1584"/>
            <w:shd w:fill="E6EEF3" w:val="clear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000000"/>
                <w:sz w:val="15"/>
              </w:rPr>
              <w:t>42</w:t>
            </w:r>
          </w:p>
        </w:tc>
        <w:tc>
          <w:tcPr>
            <w:tcW w:type="dxa" w:w="2304"/>
            <w:shd w:fill="E6EEF3" w:val="clear"/>
            <w:tcMar>
              <w:top w:w="35" w:type="dxa"/>
              <w:left w:w="45" w:type="dxa"/>
              <w:bottom w:w="35" w:type="dxa"/>
              <w:right w:w="4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000000"/>
                <w:sz w:val="15"/>
              </w:rPr>
              <w:t>Complete both checklists</w:t>
            </w:r>
          </w:p>
        </w:tc>
      </w:tr>
    </w:tbl>
    <w:p>
      <w:r>
        <w:br w:type="page"/>
      </w:r>
    </w:p>
    <w:p>
      <w:pPr>
        <w:keepNext/>
        <w:spacing w:before="0" w:after="40" w:line="240" w:lineRule="auto"/>
      </w:pPr>
      <w:r>
        <w:rPr>
          <w:rFonts w:ascii="Arial" w:hAnsi="Arial" w:eastAsia="Arial"/>
          <w:b/>
          <w:color w:val="0B1F33"/>
          <w:sz w:val="27"/>
        </w:rPr>
        <w:t>CHECKLIST 1 — GENERAL ONBOARD CARGO SECURING READINESS</w:t>
      </w:r>
    </w:p>
    <w:p>
      <w:pPr>
        <w:keepNext/>
        <w:spacing w:before="0" w:after="80" w:line="240" w:lineRule="auto"/>
      </w:pPr>
      <w:r>
        <w:rPr>
          <w:rFonts w:ascii="Arial" w:hAnsi="Arial" w:eastAsia="Arial"/>
          <w:b w:val="0"/>
          <w:color w:val="666666"/>
          <w:sz w:val="16"/>
        </w:rPr>
        <w:t>Complete this checklist for the cargo-securing arrangements applicable to the ship and voyage. Use N/A only where the item genuinely does not apply.</w:t>
      </w:r>
    </w:p>
    <w:tbl>
      <w:tblPr>
        <w:tblStyle w:val="TableGrid"/>
        <w:tblW w:type="dxa" w:w="15912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2448"/>
        <w:gridCol w:w="4392"/>
        <w:gridCol w:w="4392"/>
        <w:gridCol w:w="504"/>
        <w:gridCol w:w="504"/>
        <w:gridCol w:w="648"/>
        <w:gridCol w:w="2376"/>
      </w:tblGrid>
      <w:tr>
        <w:trPr>
          <w:tblHeader w:val="true"/>
          <w:cantSplit/>
        </w:trPr>
        <w:tc>
          <w:tcPr>
            <w:tcW w:type="dxa" w:w="6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No.</w:t>
            </w:r>
          </w:p>
        </w:tc>
        <w:tc>
          <w:tcPr>
            <w:tcW w:type="dxa" w:w="24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Check item</w:t>
            </w:r>
          </w:p>
        </w:tc>
        <w:tc>
          <w:tcPr>
            <w:tcW w:type="dxa" w:w="4392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Details to verify</w:t>
            </w:r>
          </w:p>
        </w:tc>
        <w:tc>
          <w:tcPr>
            <w:tcW w:type="dxa" w:w="4392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Action before arrival</w:t>
            </w:r>
          </w:p>
        </w:tc>
        <w:tc>
          <w:tcPr>
            <w:tcW w:type="dxa" w:w="504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Y</w:t>
            </w:r>
          </w:p>
        </w:tc>
        <w:tc>
          <w:tcPr>
            <w:tcW w:type="dxa" w:w="504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</w:t>
            </w:r>
          </w:p>
        </w:tc>
        <w:tc>
          <w:tcPr>
            <w:tcW w:type="dxa" w:w="6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N/A</w:t>
            </w:r>
          </w:p>
        </w:tc>
        <w:tc>
          <w:tcPr>
            <w:tcW w:type="dxa" w:w="2376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Remarks / evidence</w:t>
            </w: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1. Approved CSM, cargo plan and assessment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1.1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Approved CSM onboard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A current, Administration-approved and ship-specific Cargo Securing Manual is readily available.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Locate the controlled copy and approval evidence; escalate immediately if it is unavailable.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1.2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Identity, revision and applicability verified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Ship name/IMO number, approval details, revision status and applicability are correct for this vessel and cargo.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Replace obsolete or wrong-vessel copies and resolve any applicability uncertainty.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1.3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Manual complete and current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Required drawings, appendices, cargo-specific instructions and securing-device information reflect actual arrangements.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Obtain missing approved information and formally address any vessel/manual mismatch.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1.4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Cargo information and plan available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Required weights, dimensions, centre of gravity and other securing-relevant information support the actual cargo plan.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Obtain or verify missing information before accepting or securing the cargo.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1.5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Securing arrangement follows the CSM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Stowage position, securing method, securing points, device type, number and capacity comply with the approved CSM.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the arrangement or obtain formal guidance before departure.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1.6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Required assessment completed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Applicable calculations or assessments use the actual cargo, stowage and loading condition, including special-cargo controls.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Recalculate or reassess after any material change; resolve non-compliance before sailing.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2. Fixed and portable securing equipment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2.1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Fixed fittings serviceable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Padeyes, D-rings, sockets, foundations and other fixed fittings show no unsafe damage or deterioration.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Mark out, isolate and formally assess or repair defective fittings.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2.2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Portable equipment serviceable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Lashings, chains, wires, rods, turnbuckles, twistlocks and associated gear are fit for intended use.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Remove defective equipment from service and replace it.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2.3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No harmful deterioration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No excessive corrosion, wear, cracking, deformation, seized parts or damaged threads affects safe use.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Clean and inspect suspect equipment; renew it or obtain competent assessment.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2.4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Components compatible and adequate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Connected devices are compatible in type, size, capacity and operating direction for the approved arrangement.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mixed, reversed, forced or otherwise unsuitable connections.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2.5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Identification and evidence traceable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Equipment identification, inventory and certification/inspection evidence are traceable where required by CSM, SMS, Flag or Class.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Reconcile records and markings; do not invent, recreate or backdate evidence.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2.6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Quantity and rejected-equipment control effective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Sufficient serviceable gear is available, while damaged or rejected equipment is identified and segregated.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Replenish shortages and quarantine rejected equipment against unintended reuse.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3. Inspection, maintenance, repairs and defects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3.1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Required inspections current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Specified inspections of fixed and portable securing equipment are completed at the required intervals.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Complete overdue inspections and record the actual findings.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3.2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Maintenance effective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Lubrication, freeing-up, corrosion control and other required maintenance keep equipment operational.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Complete necessary maintenance and recheck operation.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3.3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Records match physical condition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CSM/SMS/PMS records, inventories and inspection evidence agree with the condition found onboard.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genuine record errors; never recreate evidence for work not performed.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3.4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Defects properly controlled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Open defects are reported, assessed, risk controlled, assigned and subject to a credible closure plan.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Escalate safety-critical defects and apply controlled restrictions where required.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3.5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Repairs and temporary arrangements authorized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Repairs, welding, replacements, modifications and temporary measures have the required technical basis and approval.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Stop use of unauthorized arrangements and obtain Company/Flag/RO/Class direction.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3.6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Previous findings and overdue actions closed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Relevant PSC, Class, Flag, audit and Company findings have been physically verified without recurrence.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Close remaining actions and retain genuine supporting evidence.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</w:tbl>
    <w:p>
      <w:r>
        <w:br w:type="page"/>
      </w:r>
    </w:p>
    <w:p>
      <w:pPr>
        <w:keepNext/>
        <w:spacing w:before="0" w:after="40" w:line="240" w:lineRule="auto"/>
      </w:pPr>
      <w:r>
        <w:rPr>
          <w:rFonts w:ascii="Arial" w:hAnsi="Arial" w:eastAsia="Arial"/>
          <w:b/>
          <w:color w:val="0B1F33"/>
          <w:sz w:val="27"/>
        </w:rPr>
        <w:t>CHECKLIST 1 — GENERAL ONBOARD CARGO SECURING READINESS (CONTINUED)</w:t>
      </w:r>
    </w:p>
    <w:p>
      <w:pPr>
        <w:keepNext/>
        <w:spacing w:before="0" w:after="80" w:line="240" w:lineRule="auto"/>
      </w:pPr>
      <w:r>
        <w:rPr>
          <w:rFonts w:ascii="Arial" w:hAnsi="Arial" w:eastAsia="Arial"/>
          <w:b w:val="0"/>
          <w:color w:val="666666"/>
          <w:sz w:val="16"/>
        </w:rPr>
        <w:t>Continue with crew, operational, voyage and pre-arrival checks. Every NO answer requires closure, escalation or a formally controlled measure.</w:t>
      </w:r>
    </w:p>
    <w:tbl>
      <w:tblPr>
        <w:tblStyle w:val="TableGrid"/>
        <w:tblW w:type="dxa" w:w="15912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2448"/>
        <w:gridCol w:w="4392"/>
        <w:gridCol w:w="4392"/>
        <w:gridCol w:w="504"/>
        <w:gridCol w:w="504"/>
        <w:gridCol w:w="648"/>
        <w:gridCol w:w="2376"/>
      </w:tblGrid>
      <w:tr>
        <w:trPr>
          <w:tblHeader w:val="true"/>
          <w:cantSplit/>
        </w:trPr>
        <w:tc>
          <w:tcPr>
            <w:tcW w:type="dxa" w:w="6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No.</w:t>
            </w:r>
          </w:p>
        </w:tc>
        <w:tc>
          <w:tcPr>
            <w:tcW w:type="dxa" w:w="24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Check item</w:t>
            </w:r>
          </w:p>
        </w:tc>
        <w:tc>
          <w:tcPr>
            <w:tcW w:type="dxa" w:w="4392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Details to verify</w:t>
            </w:r>
          </w:p>
        </w:tc>
        <w:tc>
          <w:tcPr>
            <w:tcW w:type="dxa" w:w="4392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Action before arrival</w:t>
            </w:r>
          </w:p>
        </w:tc>
        <w:tc>
          <w:tcPr>
            <w:tcW w:type="dxa" w:w="504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Y</w:t>
            </w:r>
          </w:p>
        </w:tc>
        <w:tc>
          <w:tcPr>
            <w:tcW w:type="dxa" w:w="504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</w:t>
            </w:r>
          </w:p>
        </w:tc>
        <w:tc>
          <w:tcPr>
            <w:tcW w:type="dxa" w:w="6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N/A</w:t>
            </w:r>
          </w:p>
        </w:tc>
        <w:tc>
          <w:tcPr>
            <w:tcW w:type="dxa" w:w="2376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Remarks / evidence</w:t>
            </w: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4. Crew familiarity, safe access and lashing operations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4.1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Responsible officers familiar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Master and person in charge can locate and explain the applicable CSM arrangements, limitations and checks.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Conduct a focused CSM review and verify understanding.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4.2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Crew can demonstrate practical checks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Assigned crew can select, inspect, fit and verify the securing equipment used onboard.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Provide practical familiarization using the actual equipment and arrangement.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4.3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Duties and supervision clear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Responsibility for planning, supervision, final inspection, voyage monitoring and escalation is understood.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Clarify assignments, communications and the responsible final checker.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4.4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Safe access maintained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Routes, platforms, lighting, guardrails and fall-protection arrangements permit safe securing work and inspection.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Restore access and protective measures before work or inspection.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4.5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PPE, tools and stop-work arrangements effective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Suitable PPE, tools, communications and stop-work authority are available and used.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shortages or unsafe practices before lashing work continues.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4.6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Final departure inspection completed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The installed securing arrangement is physically checked after cargo operations and before departure.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Close missing, loose, incorrectly fitted or unsuitable securing devices.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5. Voyage monitoring and pre-arrival close-out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5.1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Voyage checks completed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Cargo securing is checked at suitable intervals and after weather or events likely to affect it.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Complete and record the next required check; correct unsafe conditions promptly.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5.2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Securing adjusted when required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Loose, changed or failed securing arrangements are corrected whenever safe access permits.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Re-tighten or replace equipment and escalate unsafe access or repeated failure.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5.3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Heavy-weather precautions understood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Master and officers understand applicable CSM/CSS precautions for the expected voyage conditions.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Review weather, route, ship-handling and cargo-check actions before exposure.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5.4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Cargo-shift or lashing-failure response ready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Procedures and communications are understood for shifted cargo, failed lashings and unsafe access.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Brief the response and confirm necessary equipment and escalation routes.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5.5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Pre-arrival deck walk completed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A focused inspection confirms physical condition, housekeeping, safe access and consistency with current records.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findings and retain honest, current evidence where required.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5.6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Every identified gap closed or controlled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Every NO answer is closed or formally controlled and escalated before arrival, with Master verification.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Do not sign off an uncontrolled safety-critical item.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</w:tbl>
    <w:p>
      <w:r>
        <w:br w:type="page"/>
      </w:r>
    </w:p>
    <w:p>
      <w:pPr>
        <w:keepNext/>
        <w:spacing w:before="0" w:after="40" w:line="240" w:lineRule="auto"/>
      </w:pPr>
      <w:r>
        <w:rPr>
          <w:rFonts w:ascii="Arial" w:hAnsi="Arial" w:eastAsia="Arial"/>
          <w:b/>
          <w:color w:val="0B1F33"/>
          <w:sz w:val="27"/>
        </w:rPr>
        <w:t>CHECKLIST 2 — ADDITIONAL CHECKS FOR CONTAINER SHIPS</w:t>
      </w:r>
    </w:p>
    <w:p>
      <w:pPr>
        <w:keepNext/>
        <w:spacing w:before="0" w:after="80" w:line="240" w:lineRule="auto"/>
      </w:pPr>
      <w:r>
        <w:rPr>
          <w:rFonts w:ascii="Arial" w:hAnsi="Arial" w:eastAsia="Arial"/>
          <w:b w:val="0"/>
          <w:color w:val="666666"/>
          <w:sz w:val="16"/>
        </w:rPr>
        <w:t>Container ships complete these 12 additional checks after Checklist 1. The approved ship-specific CSM and CSAP remain controlling.</w:t>
      </w:r>
    </w:p>
    <w:tbl>
      <w:tblPr>
        <w:tblStyle w:val="TableGrid"/>
        <w:tblW w:type="dxa" w:w="15912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2448"/>
        <w:gridCol w:w="4392"/>
        <w:gridCol w:w="4392"/>
        <w:gridCol w:w="504"/>
        <w:gridCol w:w="504"/>
        <w:gridCol w:w="648"/>
        <w:gridCol w:w="2376"/>
      </w:tblGrid>
      <w:tr>
        <w:trPr>
          <w:tblHeader w:val="true"/>
          <w:cantSplit/>
        </w:trPr>
        <w:tc>
          <w:tcPr>
            <w:tcW w:type="dxa" w:w="6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No.</w:t>
            </w:r>
          </w:p>
        </w:tc>
        <w:tc>
          <w:tcPr>
            <w:tcW w:type="dxa" w:w="24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Check item</w:t>
            </w:r>
          </w:p>
        </w:tc>
        <w:tc>
          <w:tcPr>
            <w:tcW w:type="dxa" w:w="4392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Details to verify</w:t>
            </w:r>
          </w:p>
        </w:tc>
        <w:tc>
          <w:tcPr>
            <w:tcW w:type="dxa" w:w="4392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Action before arrival</w:t>
            </w:r>
          </w:p>
        </w:tc>
        <w:tc>
          <w:tcPr>
            <w:tcW w:type="dxa" w:w="504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Y</w:t>
            </w:r>
          </w:p>
        </w:tc>
        <w:tc>
          <w:tcPr>
            <w:tcW w:type="dxa" w:w="504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</w:t>
            </w:r>
          </w:p>
        </w:tc>
        <w:tc>
          <w:tcPr>
            <w:tcW w:type="dxa" w:w="648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N/A</w:t>
            </w:r>
          </w:p>
        </w:tc>
        <w:tc>
          <w:tcPr>
            <w:tcW w:type="dxa" w:w="2376"/>
            <w:shd w:fill="0B1F33" w:val="clear"/>
            <w:tcMar>
              <w:top w:w="30" w:type="dxa"/>
              <w:left w:w="35" w:type="dxa"/>
              <w:bottom w:w="30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FFFFFF"/>
                <w:sz w:val="14"/>
              </w:rPr>
              <w:t>Remarks / evidence</w:t>
            </w: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C1. Container planning, stowage and lashing assessment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Cargo Safe Access Plan verified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The approved CSAP is available where required and agrees with the vessel's actual access arrangements.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unsafe access and resolve any plan/arrangement mismatch through the proper approval route.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VGM available and used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Verified Gross Mass is available before loading and is used in preparation of the ship's stowage plan.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Resolve missing or inconsistent VGM data under the applicable procedure.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C3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Final bay plan matches the vessel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Final container positions, weights and special units agree with the actual stow onboard.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discrepancies and reissue the controlled final plan.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C4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Stack, tier and loading limits respected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Stack weights, tier limits and other permissible loading limits are not exceeded.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Re-stow or recalculate any non-compliant stack before departure.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C5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Ship-specific lashing assessment completed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The CSM-required method uses the correct ship configuration, final container weights, positions and loading condition.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inputs and repeat the assessment after material changes.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C6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Outputs and special arrangements controlled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No warning or overload is bypassed; results are available and special or non-standard units follow applicable instructions.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Restow, revise the arrangement or obtain formal technical guidance before sailing.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15912"/>
            <w:gridSpan w:val="8"/>
            <w:shd w:fill="E6EEF3" w:val="clear"/>
            <w:tcMar>
              <w:top w:w="28" w:type="dxa"/>
              <w:left w:w="45" w:type="dxa"/>
              <w:bottom w:w="28" w:type="dxa"/>
              <w:right w:w="45" w:type="dxa"/>
            </w:tcMar>
            <w:tcBorders>
              <w:top w:val="single" w:sz="4" w:space="0" w:color="0B1F33"/>
              <w:left w:val="single" w:sz="4" w:space="0" w:color="0B1F33"/>
              <w:bottom w:val="single" w:sz="4" w:space="0" w:color="0B1F33"/>
              <w:right w:val="single" w:sz="4" w:space="0" w:color="0B1F33"/>
              <w:insideH w:val="single" w:sz="4" w:space="0" w:color="0B1F33"/>
              <w:insideV w:val="single" w:sz="4" w:space="0" w:color="0B1F33"/>
            </w:tcBorders>
            <w:vAlign w:val="center"/>
          </w:tcPr>
          <w:p>
            <w:pPr>
              <w:keepNext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B1F33"/>
                <w:sz w:val="16"/>
              </w:rPr>
              <w:t>C2. Container equipment, final arrangement and loss reporting</w:t>
            </w: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C7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Cell guides and foundations serviceable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Cell guides, container foundations, hatch-area interfaces and surrounding structure show no unsafe condition.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Report, assess, repair or restrict affected positions.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C8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Lashing bridges and deck fittings serviceable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Lashing bridges, platforms, sockets, D-rings and associated supports remain structurally and operationally sound.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Restrict access or use and obtain technical assessment for defects.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C9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Twistlocks serviceable and suitable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Twistlocks are correct for the intended position, operate freely and lock as designed.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Remove seized, damaged, mixed or unsuitable units from service.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C10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Rods and turnbuckles serviceable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Lashing rods, turnbuckles and securing bars are of the correct type and length with sound threads, pins and end fittings.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Clean, lubricate, repair or replace defective or incompatible equipment.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C11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Final lashing arrangement verified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Installed lashings and twistlocks match the final bay plan, approved CSM pattern and completed assessment.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Correct missing, loose, reversed or wrongly positioned devices.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  <w:tr>
        <w:trPr>
          <w:cantSplit/>
        </w:trPr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C12</w:t>
            </w:r>
          </w:p>
        </w:tc>
        <w:tc>
          <w:tcPr>
            <w:tcW w:type="dxa" w:w="24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000000"/>
                <w:sz w:val="14"/>
              </w:rPr>
              <w:t>Container-loss reporting readiness confirmed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Bridge and Master know the SOLAS V/31 and V/32 reporting procedure for containers lost at sea.</w:t>
            </w:r>
          </w:p>
        </w:tc>
        <w:tc>
          <w:tcPr>
            <w:tcW w:type="dxa" w:w="4392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000000"/>
                <w:sz w:val="14"/>
              </w:rPr>
              <w:t>Verify reporting information, templates, contacts and responsible persons.</w:t>
            </w: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504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648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376"/>
            <w:tcMar>
              <w:top w:w="28" w:type="dxa"/>
              <w:left w:w="35" w:type="dxa"/>
              <w:bottom w:w="28" w:type="dxa"/>
              <w:right w:w="35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</w:p>
        </w:tc>
      </w:tr>
    </w:tbl>
    <w:sectPr w:rsidR="00CE660A" w:rsidSect="00AD3DE2">
      <w:footerReference w:type="default" r:id="rId9"/>
      <w:pgSz w:w="16834" w:h="11909" w:orient="landscape"/>
      <w:pgMar w:top="504" w:right="504" w:bottom="504" w:left="504" w:header="432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6BAE" w14:textId="77777777" w:rsidR="00990BFF" w:rsidRDefault="00990BFF">
      <w:pPr>
        <w:spacing w:after="0" w:line="240" w:lineRule="auto"/>
      </w:pPr>
      <w:r>
        <w:separator/>
      </w:r>
    </w:p>
  </w:endnote>
  <w:endnote w:type="continuationSeparator" w:id="0">
    <w:p w14:paraId="562DA540" w14:textId="77777777" w:rsidR="00990BFF" w:rsidRDefault="0099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6CE9" w14:textId="49EBE486" w:rsidR="00217BFD" w:rsidRDefault="00AD3DE2" w:rsidP="00AD3DE2">
    <w:pPr>
      <w:spacing w:before="0" w:after="0" w:line="240" w:lineRule="auto"/>
      <w:jc w:val="center"/>
    </w:pPr>
    <w:r>
      <w:rPr>
        <w:rFonts w:ascii="Arial" w:hAnsi="Arial" w:eastAsia="Arial"/>
        <w:b w:val="0"/>
        <w:color w:val="8A93A2"/>
        <w:sz w:val="14"/>
      </w:rPr>
      <w:t xml:space="preserve">AI Maritime </w:t>
    </w:r>
    <w:r>
      <w:rPr>
        <w:rFonts w:ascii="Arial" w:hAnsi="Arial" w:eastAsia="Arial"/>
        <w:b w:val="0"/>
        <w:color w:val="8A93A2"/>
        <w:sz w:val="14"/>
      </w:rPr>
      <w:t>Insights · aimaritimeinsights.com</w:t>
    </w:r>
    <w:r>
      <w:rPr>
        <w:rFonts w:ascii="Arial" w:hAnsi="Arial" w:eastAsia="Arial"/>
        <w:b w:val="0"/>
        <w:color w:val="666666"/>
        <w:sz w:val="14"/>
      </w:rPr>
      <w:t xml:space="preserve"> | Cargo Securing CIC Onboard Readiness Checklists | 30 general + 12 container-specific | Pre-release readiness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67C8" w14:textId="77777777" w:rsidR="00990BFF" w:rsidRDefault="00990BFF">
      <w:pPr>
        <w:spacing w:after="0" w:line="240" w:lineRule="auto"/>
      </w:pPr>
      <w:r>
        <w:separator/>
      </w:r>
    </w:p>
  </w:footnote>
  <w:footnote w:type="continuationSeparator" w:id="0">
    <w:p w14:paraId="039D6154" w14:textId="77777777" w:rsidR="00990BFF" w:rsidRDefault="00990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0113535">
    <w:abstractNumId w:val="8"/>
  </w:num>
  <w:num w:numId="2" w16cid:durableId="1237861697">
    <w:abstractNumId w:val="6"/>
  </w:num>
  <w:num w:numId="3" w16cid:durableId="1852337667">
    <w:abstractNumId w:val="5"/>
  </w:num>
  <w:num w:numId="4" w16cid:durableId="423454193">
    <w:abstractNumId w:val="4"/>
  </w:num>
  <w:num w:numId="5" w16cid:durableId="558638243">
    <w:abstractNumId w:val="7"/>
  </w:num>
  <w:num w:numId="6" w16cid:durableId="1035080545">
    <w:abstractNumId w:val="3"/>
  </w:num>
  <w:num w:numId="7" w16cid:durableId="1279532359">
    <w:abstractNumId w:val="2"/>
  </w:num>
  <w:num w:numId="8" w16cid:durableId="675815154">
    <w:abstractNumId w:val="1"/>
  </w:num>
  <w:num w:numId="9" w16cid:durableId="100204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7BFD"/>
    <w:rsid w:val="0029639D"/>
    <w:rsid w:val="0032477D"/>
    <w:rsid w:val="00326F90"/>
    <w:rsid w:val="00393E1C"/>
    <w:rsid w:val="00990BFF"/>
    <w:rsid w:val="00A45712"/>
    <w:rsid w:val="00AA1D8D"/>
    <w:rsid w:val="00AD3DE2"/>
    <w:rsid w:val="00B47730"/>
    <w:rsid w:val="00CB0664"/>
    <w:rsid w:val="00CE660A"/>
    <w:rsid w:val="00F16B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55BA98"/>
  <w14:defaultImageDpi w14:val="300"/>
  <w15:docId w15:val="{0C8306CD-6E69-4DF3-B99D-C787452D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3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B1F33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B1F3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4344</Words>
  <Characters>24766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Cargo Securing CIC Onboard Readiness Checklists</dc:title>
  <dc:subject>General onboard checklist with container-ship additional checks</dc:subject>
  <dc:creator>AI Maritime Insights</dc:creator>
  <cp:keywords>PSC, CIC, cargo securing, CSM, container, onboard readiness checklist</cp:keywords>
  <dc:description>Independent pre-release readiness aid; not an official CIC questionnaire.</dc:description>
  <cp:lastModifiedBy>E E e</cp:lastModifiedBy>
  <cp:revision>3</cp:revision>
  <dcterms:created xsi:type="dcterms:W3CDTF">2026-06-19T10:47:00Z</dcterms:created>
  <dcterms:modified xsi:type="dcterms:W3CDTF">2026-06-19T12:10:00Z</dcterms:modified>
  <cp:category/>
</cp:coreProperties>
</file>